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AB6CD" w14:textId="77777777" w:rsidR="005469F6" w:rsidRPr="005469F6" w:rsidRDefault="005469F6" w:rsidP="005469F6">
      <w:pPr>
        <w:spacing w:after="0" w:line="240" w:lineRule="auto"/>
        <w:rPr>
          <w:rFonts w:ascii="Times New Roman" w:eastAsia="Times New Roman" w:hAnsi="Times New Roman" w:cs="Times New Roman"/>
          <w:b/>
          <w:bCs/>
          <w:kern w:val="0"/>
          <w:sz w:val="24"/>
          <w:szCs w:val="24"/>
          <w:lang w:eastAsia="de-DE"/>
          <w14:ligatures w14:val="none"/>
        </w:rPr>
      </w:pPr>
      <w:hyperlink r:id="rId5" w:history="1">
        <w:r w:rsidRPr="005469F6">
          <w:rPr>
            <w:rFonts w:ascii="Times New Roman" w:eastAsia="Times New Roman" w:hAnsi="Times New Roman" w:cs="Times New Roman"/>
            <w:b/>
            <w:bCs/>
            <w:kern w:val="0"/>
            <w:sz w:val="24"/>
            <w:szCs w:val="24"/>
            <w:lang w:eastAsia="de-DE"/>
            <w14:ligatures w14:val="none"/>
          </w:rPr>
          <w:t>26.09.2024</w:t>
        </w:r>
      </w:hyperlink>
      <w:r w:rsidRPr="005469F6">
        <w:rPr>
          <w:rFonts w:ascii="Times New Roman" w:eastAsia="Times New Roman" w:hAnsi="Times New Roman" w:cs="Times New Roman"/>
          <w:b/>
          <w:bCs/>
          <w:kern w:val="0"/>
          <w:sz w:val="24"/>
          <w:szCs w:val="24"/>
          <w:lang w:eastAsia="de-DE"/>
          <w14:ligatures w14:val="none"/>
        </w:rPr>
        <w:t> von </w:t>
      </w:r>
      <w:hyperlink r:id="rId6" w:history="1">
        <w:r w:rsidRPr="005469F6">
          <w:rPr>
            <w:rFonts w:ascii="Times New Roman" w:eastAsia="Times New Roman" w:hAnsi="Times New Roman" w:cs="Times New Roman"/>
            <w:b/>
            <w:bCs/>
            <w:kern w:val="0"/>
            <w:sz w:val="24"/>
            <w:szCs w:val="24"/>
            <w:lang w:eastAsia="de-DE"/>
            <w14:ligatures w14:val="none"/>
          </w:rPr>
          <w:t>Carolin-Jana Klose</w:t>
        </w:r>
      </w:hyperlink>
    </w:p>
    <w:p w14:paraId="52D20E2D" w14:textId="77777777" w:rsidR="005469F6" w:rsidRPr="005469F6" w:rsidRDefault="005469F6" w:rsidP="005469F6">
      <w:pPr>
        <w:spacing w:after="0" w:line="240" w:lineRule="auto"/>
        <w:rPr>
          <w:rFonts w:ascii="Times New Roman" w:eastAsia="Times New Roman" w:hAnsi="Times New Roman" w:cs="Times New Roman"/>
          <w:kern w:val="0"/>
          <w:sz w:val="16"/>
          <w:szCs w:val="16"/>
          <w:lang w:eastAsia="de-DE"/>
          <w14:ligatures w14:val="none"/>
        </w:rPr>
      </w:pPr>
    </w:p>
    <w:p w14:paraId="1903B08A" w14:textId="77777777" w:rsidR="005469F6" w:rsidRPr="005469F6" w:rsidRDefault="005469F6" w:rsidP="005469F6">
      <w:pPr>
        <w:spacing w:after="0" w:line="240" w:lineRule="auto"/>
        <w:outlineLvl w:val="0"/>
        <w:rPr>
          <w:rFonts w:ascii="Times New Roman" w:eastAsia="Times New Roman" w:hAnsi="Times New Roman" w:cs="Times New Roman"/>
          <w:color w:val="3E60AD"/>
          <w:kern w:val="36"/>
          <w:sz w:val="48"/>
          <w:szCs w:val="48"/>
          <w:lang w:eastAsia="de-DE"/>
          <w14:ligatures w14:val="none"/>
        </w:rPr>
      </w:pPr>
      <w:r w:rsidRPr="005469F6">
        <w:rPr>
          <w:rFonts w:ascii="Times New Roman" w:eastAsia="Times New Roman" w:hAnsi="Times New Roman" w:cs="Times New Roman"/>
          <w:color w:val="3E60AD"/>
          <w:kern w:val="36"/>
          <w:sz w:val="48"/>
          <w:szCs w:val="48"/>
          <w:lang w:eastAsia="de-DE"/>
          <w14:ligatures w14:val="none"/>
        </w:rPr>
        <w:t>Schwerbehinderung: Gericht legt eine neue Richtlinie für das Merkzeichen aG fest</w:t>
      </w:r>
    </w:p>
    <w:p w14:paraId="3D985E59" w14:textId="044D62F5" w:rsidR="005469F6" w:rsidRPr="005469F6" w:rsidRDefault="005469F6" w:rsidP="005469F6">
      <w:pPr>
        <w:spacing w:after="0" w:line="240" w:lineRule="auto"/>
        <w:rPr>
          <w:rFonts w:ascii="Arial" w:eastAsia="Times New Roman" w:hAnsi="Arial" w:cs="Arial"/>
          <w:color w:val="253B50"/>
          <w:kern w:val="0"/>
          <w:sz w:val="24"/>
          <w:szCs w:val="24"/>
          <w:lang w:eastAsia="de-DE"/>
          <w14:ligatures w14:val="none"/>
        </w:rPr>
      </w:pPr>
    </w:p>
    <w:p w14:paraId="1968495C" w14:textId="77777777" w:rsidR="005469F6" w:rsidRPr="005469F6" w:rsidRDefault="005469F6" w:rsidP="005469F6">
      <w:pPr>
        <w:spacing w:after="0" w:line="240" w:lineRule="auto"/>
        <w:rPr>
          <w:rFonts w:ascii="Arial" w:eastAsia="Times New Roman" w:hAnsi="Arial" w:cs="Arial"/>
          <w:kern w:val="0"/>
          <w:sz w:val="24"/>
          <w:szCs w:val="24"/>
          <w:lang w:eastAsia="de-DE"/>
          <w14:ligatures w14:val="none"/>
        </w:rPr>
      </w:pPr>
      <w:r w:rsidRPr="005469F6">
        <w:rPr>
          <w:rFonts w:ascii="Arial" w:eastAsia="Times New Roman" w:hAnsi="Arial" w:cs="Arial"/>
          <w:kern w:val="0"/>
          <w:sz w:val="24"/>
          <w:szCs w:val="24"/>
          <w:lang w:eastAsia="de-DE"/>
          <w14:ligatures w14:val="none"/>
        </w:rPr>
        <w:t>In zwei Entscheidungen hat das Bundessozialgericht über die Zuerkennung des </w:t>
      </w:r>
      <w:hyperlink r:id="rId7" w:history="1">
        <w:r w:rsidRPr="005469F6">
          <w:rPr>
            <w:rFonts w:ascii="Arial" w:eastAsia="Times New Roman" w:hAnsi="Arial" w:cs="Arial"/>
            <w:kern w:val="0"/>
            <w:sz w:val="24"/>
            <w:szCs w:val="24"/>
            <w:lang w:eastAsia="de-DE"/>
            <w14:ligatures w14:val="none"/>
          </w:rPr>
          <w:t>Merkzeichens aG</w:t>
        </w:r>
      </w:hyperlink>
      <w:r w:rsidRPr="005469F6">
        <w:rPr>
          <w:rFonts w:ascii="Arial" w:eastAsia="Times New Roman" w:hAnsi="Arial" w:cs="Arial"/>
          <w:kern w:val="0"/>
          <w:sz w:val="24"/>
          <w:szCs w:val="24"/>
          <w:lang w:eastAsia="de-DE"/>
          <w14:ligatures w14:val="none"/>
        </w:rPr>
        <w:t> (außergewöhnliche Gehbehinderung) bei schwerbehinderten Menschen geurteilt.</w:t>
      </w:r>
    </w:p>
    <w:p w14:paraId="50D31DC5" w14:textId="77777777" w:rsidR="005469F6" w:rsidRPr="005469F6" w:rsidRDefault="005469F6" w:rsidP="005469F6">
      <w:pPr>
        <w:spacing w:before="100" w:beforeAutospacing="1" w:after="100" w:afterAutospacing="1" w:line="240" w:lineRule="auto"/>
        <w:rPr>
          <w:rFonts w:ascii="Arial" w:eastAsia="Times New Roman" w:hAnsi="Arial" w:cs="Arial"/>
          <w:kern w:val="0"/>
          <w:sz w:val="24"/>
          <w:szCs w:val="24"/>
          <w:lang w:eastAsia="de-DE"/>
          <w14:ligatures w14:val="none"/>
        </w:rPr>
      </w:pPr>
      <w:r w:rsidRPr="005469F6">
        <w:rPr>
          <w:rFonts w:ascii="Arial" w:eastAsia="Times New Roman" w:hAnsi="Arial" w:cs="Arial"/>
          <w:kern w:val="0"/>
          <w:sz w:val="24"/>
          <w:szCs w:val="24"/>
          <w:lang w:eastAsia="de-DE"/>
          <w14:ligatures w14:val="none"/>
        </w:rPr>
        <w:t>Das Merkzeichen wird behinderten Menschen zuerkannt, die sich dauerhaft nur mit fremder Hilfe oder unter großer Anstrengung außerhalb ihres Kraftfahrzeugs bewegen können und bestimmte Voraussetzungen erfüllen.</w:t>
      </w:r>
    </w:p>
    <w:p w14:paraId="4E29F61E" w14:textId="77777777" w:rsidR="005469F6" w:rsidRPr="005469F6" w:rsidRDefault="005469F6" w:rsidP="005469F6">
      <w:pPr>
        <w:spacing w:before="100" w:beforeAutospacing="1" w:after="100" w:afterAutospacing="1" w:line="240" w:lineRule="auto"/>
        <w:outlineLvl w:val="1"/>
        <w:rPr>
          <w:rFonts w:ascii="Arial" w:eastAsia="Times New Roman" w:hAnsi="Arial" w:cs="Arial"/>
          <w:b/>
          <w:bCs/>
          <w:color w:val="3E60AD"/>
          <w:kern w:val="0"/>
          <w:sz w:val="36"/>
          <w:szCs w:val="36"/>
          <w:lang w:eastAsia="de-DE"/>
          <w14:ligatures w14:val="none"/>
        </w:rPr>
      </w:pPr>
      <w:r w:rsidRPr="005469F6">
        <w:rPr>
          <w:rFonts w:ascii="Arial" w:eastAsia="Times New Roman" w:hAnsi="Arial" w:cs="Arial"/>
          <w:b/>
          <w:bCs/>
          <w:color w:val="3E60AD"/>
          <w:kern w:val="0"/>
          <w:sz w:val="36"/>
          <w:szCs w:val="36"/>
          <w:lang w:eastAsia="de-DE"/>
          <w14:ligatures w14:val="none"/>
        </w:rPr>
        <w:t>Gehfähigkeit im öffentlichen Raum entscheidend</w:t>
      </w:r>
    </w:p>
    <w:p w14:paraId="3AD3B7C9" w14:textId="77777777" w:rsidR="005469F6" w:rsidRPr="005469F6" w:rsidRDefault="005469F6" w:rsidP="005469F6">
      <w:pPr>
        <w:spacing w:beforeAutospacing="1" w:after="0" w:afterAutospacing="1" w:line="240" w:lineRule="auto"/>
        <w:rPr>
          <w:rFonts w:ascii="Arial" w:eastAsia="Times New Roman" w:hAnsi="Arial" w:cs="Arial"/>
          <w:kern w:val="0"/>
          <w:sz w:val="24"/>
          <w:szCs w:val="24"/>
          <w:lang w:eastAsia="de-DE"/>
          <w14:ligatures w14:val="none"/>
        </w:rPr>
      </w:pPr>
      <w:r w:rsidRPr="005469F6">
        <w:rPr>
          <w:rFonts w:ascii="Arial" w:eastAsia="Times New Roman" w:hAnsi="Arial" w:cs="Arial"/>
          <w:kern w:val="0"/>
          <w:sz w:val="24"/>
          <w:szCs w:val="24"/>
          <w:lang w:eastAsia="de-DE"/>
          <w14:ligatures w14:val="none"/>
        </w:rPr>
        <w:t>Wenn eine Person dort nur mit erheblicher Anstrengung oder mithilfe Dritter fortbewegen kann, wird das Merkzeichen aG zuerkannt – vorausgesetzt, die Mobilitätseinschränkung entspricht dem </w:t>
      </w:r>
      <w:hyperlink r:id="rId8" w:history="1">
        <w:r w:rsidRPr="005469F6">
          <w:rPr>
            <w:rFonts w:ascii="Arial" w:eastAsia="Times New Roman" w:hAnsi="Arial" w:cs="Arial"/>
            <w:kern w:val="0"/>
            <w:sz w:val="24"/>
            <w:szCs w:val="24"/>
            <w:lang w:eastAsia="de-DE"/>
            <w14:ligatures w14:val="none"/>
          </w:rPr>
          <w:t>Grad der Behinderung</w:t>
        </w:r>
      </w:hyperlink>
      <w:r w:rsidRPr="005469F6">
        <w:rPr>
          <w:rFonts w:ascii="Arial" w:eastAsia="Times New Roman" w:hAnsi="Arial" w:cs="Arial"/>
          <w:kern w:val="0"/>
          <w:sz w:val="24"/>
          <w:szCs w:val="24"/>
          <w:lang w:eastAsia="de-DE"/>
          <w14:ligatures w14:val="none"/>
        </w:rPr>
        <w:t> von mindestens 80.</w:t>
      </w:r>
    </w:p>
    <w:p w14:paraId="673E8085" w14:textId="77777777" w:rsidR="005469F6" w:rsidRPr="005469F6" w:rsidRDefault="005469F6" w:rsidP="005469F6">
      <w:pPr>
        <w:spacing w:before="100" w:beforeAutospacing="1" w:after="100" w:afterAutospacing="1" w:line="240" w:lineRule="auto"/>
        <w:rPr>
          <w:rFonts w:ascii="Arial" w:eastAsia="Times New Roman" w:hAnsi="Arial" w:cs="Arial"/>
          <w:kern w:val="0"/>
          <w:sz w:val="24"/>
          <w:szCs w:val="24"/>
          <w:lang w:eastAsia="de-DE"/>
          <w14:ligatures w14:val="none"/>
        </w:rPr>
      </w:pPr>
      <w:r w:rsidRPr="005469F6">
        <w:rPr>
          <w:rFonts w:ascii="Arial" w:eastAsia="Times New Roman" w:hAnsi="Arial" w:cs="Arial"/>
          <w:kern w:val="0"/>
          <w:sz w:val="24"/>
          <w:szCs w:val="24"/>
          <w:lang w:eastAsia="de-DE"/>
          <w14:ligatures w14:val="none"/>
        </w:rPr>
        <w:t>Im ersten verhandelten Fall (Az. B 9 SB 1/22 R) leidet der Kläger an einer fortschreitenden Muskelschwunderkrankung mit Verlust von Gang- und Standstabilität.</w:t>
      </w:r>
    </w:p>
    <w:p w14:paraId="0B06D822" w14:textId="77777777" w:rsidR="005469F6" w:rsidRPr="005469F6" w:rsidRDefault="005469F6" w:rsidP="005469F6">
      <w:pPr>
        <w:spacing w:after="0" w:line="240" w:lineRule="auto"/>
        <w:rPr>
          <w:rFonts w:ascii="Arial" w:eastAsia="Times New Roman" w:hAnsi="Arial" w:cs="Arial"/>
          <w:kern w:val="0"/>
          <w:sz w:val="24"/>
          <w:szCs w:val="24"/>
          <w:lang w:eastAsia="de-DE"/>
          <w14:ligatures w14:val="none"/>
        </w:rPr>
      </w:pPr>
      <w:r w:rsidRPr="005469F6">
        <w:rPr>
          <w:rFonts w:ascii="Arial" w:eastAsia="Times New Roman" w:hAnsi="Arial" w:cs="Arial"/>
          <w:kern w:val="0"/>
          <w:sz w:val="24"/>
          <w:szCs w:val="24"/>
          <w:lang w:eastAsia="de-DE"/>
          <w14:ligatures w14:val="none"/>
        </w:rPr>
        <w:t>Trotz der Möglichkeit, auf einem Krankenhausflur zu gehen, besteht im öffentlichen Verkehrsraum mit Herausforderungen wie Bordsteinkanten, abfallenden Wegen und Bodenunebenheiten eine erhebliche Einschränkung.</w:t>
      </w:r>
    </w:p>
    <w:p w14:paraId="209E512B" w14:textId="77777777" w:rsidR="005469F6" w:rsidRPr="005469F6" w:rsidRDefault="005469F6" w:rsidP="005469F6">
      <w:pPr>
        <w:spacing w:before="100" w:beforeAutospacing="1" w:after="100" w:afterAutospacing="1" w:line="240" w:lineRule="auto"/>
        <w:rPr>
          <w:rFonts w:ascii="Arial" w:eastAsia="Times New Roman" w:hAnsi="Arial" w:cs="Arial"/>
          <w:kern w:val="0"/>
          <w:sz w:val="24"/>
          <w:szCs w:val="24"/>
          <w:lang w:eastAsia="de-DE"/>
          <w14:ligatures w14:val="none"/>
        </w:rPr>
      </w:pPr>
      <w:r w:rsidRPr="005469F6">
        <w:rPr>
          <w:rFonts w:ascii="Arial" w:eastAsia="Times New Roman" w:hAnsi="Arial" w:cs="Arial"/>
          <w:kern w:val="0"/>
          <w:sz w:val="24"/>
          <w:szCs w:val="24"/>
          <w:lang w:eastAsia="de-DE"/>
          <w14:ligatures w14:val="none"/>
        </w:rPr>
        <w:t>Das Bundessozialgericht hat hier die erste Voraussetzung für das Merkzeichen aG – eine erhebliche mobilitätsbezogene Teilhabebeeinträchtigung – als erfüllt angesehen.</w:t>
      </w:r>
    </w:p>
    <w:p w14:paraId="749C96AA" w14:textId="77777777" w:rsidR="005469F6" w:rsidRPr="005469F6" w:rsidRDefault="005469F6" w:rsidP="005469F6">
      <w:pPr>
        <w:spacing w:before="100" w:beforeAutospacing="1" w:after="100" w:afterAutospacing="1" w:line="240" w:lineRule="auto"/>
        <w:rPr>
          <w:rFonts w:ascii="Arial" w:eastAsia="Times New Roman" w:hAnsi="Arial" w:cs="Arial"/>
          <w:kern w:val="0"/>
          <w:sz w:val="24"/>
          <w:szCs w:val="24"/>
          <w:lang w:eastAsia="de-DE"/>
          <w14:ligatures w14:val="none"/>
        </w:rPr>
      </w:pPr>
      <w:r w:rsidRPr="005469F6">
        <w:rPr>
          <w:rFonts w:ascii="Arial" w:eastAsia="Times New Roman" w:hAnsi="Arial" w:cs="Arial"/>
          <w:kern w:val="0"/>
          <w:sz w:val="24"/>
          <w:szCs w:val="24"/>
          <w:lang w:eastAsia="de-DE"/>
          <w14:ligatures w14:val="none"/>
        </w:rPr>
        <w:t>Da die zweite Voraussetzung hinsichtlich des Grades der Behinderung von 80 nicht abschließend geklärt werden konnte, wurde der Fall an das Landessozialgericht zurückverwiesen.</w:t>
      </w:r>
    </w:p>
    <w:p w14:paraId="4F2C9A54" w14:textId="77777777" w:rsidR="005469F6" w:rsidRPr="005469F6" w:rsidRDefault="005469F6" w:rsidP="005469F6">
      <w:pPr>
        <w:spacing w:after="0" w:line="240" w:lineRule="auto"/>
        <w:outlineLvl w:val="1"/>
        <w:rPr>
          <w:rFonts w:ascii="Arial" w:eastAsia="Times New Roman" w:hAnsi="Arial" w:cs="Arial"/>
          <w:b/>
          <w:bCs/>
          <w:color w:val="3E60AD"/>
          <w:kern w:val="0"/>
          <w:sz w:val="36"/>
          <w:szCs w:val="36"/>
          <w:lang w:eastAsia="de-DE"/>
          <w14:ligatures w14:val="none"/>
        </w:rPr>
      </w:pPr>
      <w:r w:rsidRPr="005469F6">
        <w:rPr>
          <w:rFonts w:ascii="Arial" w:eastAsia="Times New Roman" w:hAnsi="Arial" w:cs="Arial"/>
          <w:b/>
          <w:bCs/>
          <w:color w:val="3E60AD"/>
          <w:kern w:val="0"/>
          <w:sz w:val="36"/>
          <w:szCs w:val="36"/>
          <w:lang w:eastAsia="de-DE"/>
          <w14:ligatures w14:val="none"/>
        </w:rPr>
        <w:t>Urteil im zweiten Fall</w:t>
      </w:r>
    </w:p>
    <w:p w14:paraId="7D295F81" w14:textId="77777777" w:rsidR="005469F6" w:rsidRPr="005469F6" w:rsidRDefault="005469F6" w:rsidP="005469F6">
      <w:pPr>
        <w:spacing w:before="100" w:beforeAutospacing="1" w:after="100" w:afterAutospacing="1" w:line="240" w:lineRule="auto"/>
        <w:rPr>
          <w:rFonts w:ascii="Arial" w:eastAsia="Times New Roman" w:hAnsi="Arial" w:cs="Arial"/>
          <w:kern w:val="0"/>
          <w:sz w:val="24"/>
          <w:szCs w:val="24"/>
          <w:lang w:eastAsia="de-DE"/>
          <w14:ligatures w14:val="none"/>
        </w:rPr>
      </w:pPr>
      <w:r w:rsidRPr="005469F6">
        <w:rPr>
          <w:rFonts w:ascii="Arial" w:eastAsia="Times New Roman" w:hAnsi="Arial" w:cs="Arial"/>
          <w:kern w:val="0"/>
          <w:sz w:val="24"/>
          <w:szCs w:val="24"/>
          <w:lang w:eastAsia="de-DE"/>
          <w14:ligatures w14:val="none"/>
        </w:rPr>
        <w:t>Im zweiten Fall (Az. B 9 SB 8/21 R) kann der Kläger aufgrund einer globalen Entwicklungsstörung nur in vertrauten Situationen im schulischen oder häuslichen Bereich frei gehen, nicht jedoch in unbekannter Umgebung.</w:t>
      </w:r>
    </w:p>
    <w:p w14:paraId="3741D3A5" w14:textId="77777777" w:rsidR="005469F6" w:rsidRPr="005469F6" w:rsidRDefault="005469F6" w:rsidP="005469F6">
      <w:pPr>
        <w:spacing w:before="100" w:beforeAutospacing="1" w:after="100" w:afterAutospacing="1" w:line="240" w:lineRule="auto"/>
        <w:rPr>
          <w:rFonts w:ascii="Arial" w:eastAsia="Times New Roman" w:hAnsi="Arial" w:cs="Arial"/>
          <w:kern w:val="0"/>
          <w:sz w:val="24"/>
          <w:szCs w:val="24"/>
          <w:lang w:eastAsia="de-DE"/>
          <w14:ligatures w14:val="none"/>
        </w:rPr>
      </w:pPr>
      <w:r w:rsidRPr="005469F6">
        <w:rPr>
          <w:rFonts w:ascii="Arial" w:eastAsia="Times New Roman" w:hAnsi="Arial" w:cs="Arial"/>
          <w:kern w:val="0"/>
          <w:sz w:val="24"/>
          <w:szCs w:val="24"/>
          <w:lang w:eastAsia="de-DE"/>
          <w14:ligatures w14:val="none"/>
        </w:rPr>
        <w:t>Das Bundessozialgericht hat in diesem Fall entschieden, dass dem Kläger das Merkzeichen aG zusteht. Die Richter betonten dabei, dass die Gehfähigkeit in einer vertrauten Umgebung der Zuerkennung des Merkzeichens aG nicht entgegensteht.</w:t>
      </w:r>
    </w:p>
    <w:p w14:paraId="73613D7A" w14:textId="77777777" w:rsidR="005469F6" w:rsidRPr="005469F6" w:rsidRDefault="005469F6" w:rsidP="005469F6">
      <w:pPr>
        <w:spacing w:before="100" w:beforeAutospacing="1" w:after="100" w:afterAutospacing="1" w:line="240" w:lineRule="auto"/>
        <w:rPr>
          <w:rFonts w:ascii="Arial" w:eastAsia="Times New Roman" w:hAnsi="Arial" w:cs="Arial"/>
          <w:kern w:val="0"/>
          <w:sz w:val="24"/>
          <w:szCs w:val="24"/>
          <w:lang w:eastAsia="de-DE"/>
          <w14:ligatures w14:val="none"/>
        </w:rPr>
      </w:pPr>
      <w:r w:rsidRPr="005469F6">
        <w:rPr>
          <w:rFonts w:ascii="Arial" w:eastAsia="Times New Roman" w:hAnsi="Arial" w:cs="Arial"/>
          <w:kern w:val="0"/>
          <w:sz w:val="24"/>
          <w:szCs w:val="24"/>
          <w:lang w:eastAsia="de-DE"/>
          <w14:ligatures w14:val="none"/>
        </w:rPr>
        <w:t>“Der Sinn und Zweck des Schwerbehindertenrechts umfasse gerade auch die Teilhabe von behinderten Menschen an allen Facetten des sozialen, kulturellen, wirtschaftlichen und gesellschaftlichen Lebens”, so das Gericht.</w:t>
      </w:r>
    </w:p>
    <w:p w14:paraId="748057AB" w14:textId="77777777" w:rsidR="005469F6" w:rsidRPr="005469F6" w:rsidRDefault="005469F6" w:rsidP="005469F6">
      <w:pPr>
        <w:spacing w:before="100" w:beforeAutospacing="1" w:after="100" w:afterAutospacing="1" w:line="240" w:lineRule="auto"/>
        <w:rPr>
          <w:rFonts w:ascii="Arial" w:eastAsia="Times New Roman" w:hAnsi="Arial" w:cs="Arial"/>
          <w:kern w:val="0"/>
          <w:sz w:val="24"/>
          <w:szCs w:val="24"/>
          <w:lang w:eastAsia="de-DE"/>
          <w14:ligatures w14:val="none"/>
        </w:rPr>
      </w:pPr>
      <w:r w:rsidRPr="005469F6">
        <w:rPr>
          <w:rFonts w:ascii="Arial" w:eastAsia="Times New Roman" w:hAnsi="Arial" w:cs="Arial"/>
          <w:kern w:val="0"/>
          <w:sz w:val="24"/>
          <w:szCs w:val="24"/>
          <w:lang w:eastAsia="de-DE"/>
          <w14:ligatures w14:val="none"/>
        </w:rPr>
        <w:lastRenderedPageBreak/>
        <w:t>Die mobilitätsbezogene Teilhabebeeinträchtigung des Klägers wurde dabei als einem Grad der Behinderung von 80 entsprechend bewertet.</w:t>
      </w:r>
    </w:p>
    <w:p w14:paraId="7AB0401E" w14:textId="77777777" w:rsidR="005469F6" w:rsidRPr="005469F6" w:rsidRDefault="005469F6" w:rsidP="005469F6">
      <w:pPr>
        <w:spacing w:before="100" w:beforeAutospacing="1" w:after="100" w:afterAutospacing="1" w:line="240" w:lineRule="auto"/>
        <w:outlineLvl w:val="1"/>
        <w:rPr>
          <w:rFonts w:ascii="Arial" w:eastAsia="Times New Roman" w:hAnsi="Arial" w:cs="Arial"/>
          <w:b/>
          <w:bCs/>
          <w:color w:val="3E60AD"/>
          <w:kern w:val="0"/>
          <w:sz w:val="36"/>
          <w:szCs w:val="36"/>
          <w:lang w:eastAsia="de-DE"/>
          <w14:ligatures w14:val="none"/>
        </w:rPr>
      </w:pPr>
      <w:r w:rsidRPr="005469F6">
        <w:rPr>
          <w:rFonts w:ascii="Arial" w:eastAsia="Times New Roman" w:hAnsi="Arial" w:cs="Arial"/>
          <w:b/>
          <w:bCs/>
          <w:color w:val="3E60AD"/>
          <w:kern w:val="0"/>
          <w:sz w:val="36"/>
          <w:szCs w:val="36"/>
          <w:lang w:eastAsia="de-DE"/>
          <w14:ligatures w14:val="none"/>
        </w:rPr>
        <w:t>Bedeutung bei Schwerbehinderung</w:t>
      </w:r>
    </w:p>
    <w:p w14:paraId="5698A89F" w14:textId="77777777" w:rsidR="005469F6" w:rsidRPr="005469F6" w:rsidRDefault="005469F6" w:rsidP="005469F6">
      <w:pPr>
        <w:spacing w:before="100" w:beforeAutospacing="1" w:after="100" w:afterAutospacing="1" w:line="240" w:lineRule="auto"/>
        <w:rPr>
          <w:rFonts w:ascii="Arial" w:eastAsia="Times New Roman" w:hAnsi="Arial" w:cs="Arial"/>
          <w:kern w:val="0"/>
          <w:sz w:val="24"/>
          <w:szCs w:val="24"/>
          <w:lang w:eastAsia="de-DE"/>
          <w14:ligatures w14:val="none"/>
        </w:rPr>
      </w:pPr>
      <w:r w:rsidRPr="005469F6">
        <w:rPr>
          <w:rFonts w:ascii="Arial" w:eastAsia="Times New Roman" w:hAnsi="Arial" w:cs="Arial"/>
          <w:kern w:val="0"/>
          <w:sz w:val="24"/>
          <w:szCs w:val="24"/>
          <w:lang w:eastAsia="de-DE"/>
          <w14:ligatures w14:val="none"/>
        </w:rPr>
        <w:t>Die Gerichtsentscheidung zeigt, dass Menschen in vergleichbaren Situationen grundsätzlich Anspruch auf das Merkzeichen aG haben.</w:t>
      </w:r>
    </w:p>
    <w:p w14:paraId="3989C0FE" w14:textId="77777777" w:rsidR="005469F6" w:rsidRPr="005469F6" w:rsidRDefault="005469F6" w:rsidP="005469F6">
      <w:pPr>
        <w:spacing w:before="100" w:beforeAutospacing="1" w:after="100" w:afterAutospacing="1" w:line="240" w:lineRule="auto"/>
        <w:rPr>
          <w:rFonts w:ascii="Arial" w:eastAsia="Times New Roman" w:hAnsi="Arial" w:cs="Arial"/>
          <w:kern w:val="0"/>
          <w:sz w:val="24"/>
          <w:szCs w:val="24"/>
          <w:lang w:eastAsia="de-DE"/>
          <w14:ligatures w14:val="none"/>
        </w:rPr>
      </w:pPr>
      <w:r w:rsidRPr="005469F6">
        <w:rPr>
          <w:rFonts w:ascii="Arial" w:eastAsia="Times New Roman" w:hAnsi="Arial" w:cs="Arial"/>
          <w:kern w:val="0"/>
          <w:sz w:val="24"/>
          <w:szCs w:val="24"/>
          <w:lang w:eastAsia="de-DE"/>
          <w14:ligatures w14:val="none"/>
        </w:rPr>
        <w:t>Dies basiert auf dem Verständnis, dass das Schwerbehindertenrecht das uneingeschränkte Recht auf volle Teilhabe behinderter Menschen in der Gesellschaft unterstützt. Dies beinhaltet explizit auch die Möglichkeit, sich in veränderlichen und unbekannten Umgebungen zu bewegen.</w:t>
      </w:r>
    </w:p>
    <w:p w14:paraId="68C4F5E8" w14:textId="77777777" w:rsidR="009A1C72" w:rsidRDefault="009A1C72"/>
    <w:sectPr w:rsidR="009A1C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574F2C"/>
    <w:multiLevelType w:val="multilevel"/>
    <w:tmpl w:val="021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4049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F6"/>
    <w:rsid w:val="005469F6"/>
    <w:rsid w:val="00847A2F"/>
    <w:rsid w:val="008B0722"/>
    <w:rsid w:val="009A1C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708E"/>
  <w15:chartTrackingRefBased/>
  <w15:docId w15:val="{1D5DC072-6080-41F6-884C-8D6BD66F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469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469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469F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469F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469F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469F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469F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469F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469F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469F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469F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469F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469F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469F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469F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469F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469F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469F6"/>
    <w:rPr>
      <w:rFonts w:eastAsiaTheme="majorEastAsia" w:cstheme="majorBidi"/>
      <w:color w:val="272727" w:themeColor="text1" w:themeTint="D8"/>
    </w:rPr>
  </w:style>
  <w:style w:type="paragraph" w:styleId="Titel">
    <w:name w:val="Title"/>
    <w:basedOn w:val="Standard"/>
    <w:next w:val="Standard"/>
    <w:link w:val="TitelZchn"/>
    <w:uiPriority w:val="10"/>
    <w:qFormat/>
    <w:rsid w:val="005469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469F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469F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469F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469F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469F6"/>
    <w:rPr>
      <w:i/>
      <w:iCs/>
      <w:color w:val="404040" w:themeColor="text1" w:themeTint="BF"/>
    </w:rPr>
  </w:style>
  <w:style w:type="paragraph" w:styleId="Listenabsatz">
    <w:name w:val="List Paragraph"/>
    <w:basedOn w:val="Standard"/>
    <w:uiPriority w:val="34"/>
    <w:qFormat/>
    <w:rsid w:val="005469F6"/>
    <w:pPr>
      <w:ind w:left="720"/>
      <w:contextualSpacing/>
    </w:pPr>
  </w:style>
  <w:style w:type="character" w:styleId="IntensiveHervorhebung">
    <w:name w:val="Intense Emphasis"/>
    <w:basedOn w:val="Absatz-Standardschriftart"/>
    <w:uiPriority w:val="21"/>
    <w:qFormat/>
    <w:rsid w:val="005469F6"/>
    <w:rPr>
      <w:i/>
      <w:iCs/>
      <w:color w:val="0F4761" w:themeColor="accent1" w:themeShade="BF"/>
    </w:rPr>
  </w:style>
  <w:style w:type="paragraph" w:styleId="IntensivesZitat">
    <w:name w:val="Intense Quote"/>
    <w:basedOn w:val="Standard"/>
    <w:next w:val="Standard"/>
    <w:link w:val="IntensivesZitatZchn"/>
    <w:uiPriority w:val="30"/>
    <w:qFormat/>
    <w:rsid w:val="005469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469F6"/>
    <w:rPr>
      <w:i/>
      <w:iCs/>
      <w:color w:val="0F4761" w:themeColor="accent1" w:themeShade="BF"/>
    </w:rPr>
  </w:style>
  <w:style w:type="character" w:styleId="IntensiverVerweis">
    <w:name w:val="Intense Reference"/>
    <w:basedOn w:val="Absatz-Standardschriftart"/>
    <w:uiPriority w:val="32"/>
    <w:qFormat/>
    <w:rsid w:val="005469F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1488792">
      <w:bodyDiv w:val="1"/>
      <w:marLeft w:val="0"/>
      <w:marRight w:val="0"/>
      <w:marTop w:val="0"/>
      <w:marBottom w:val="0"/>
      <w:divBdr>
        <w:top w:val="none" w:sz="0" w:space="0" w:color="auto"/>
        <w:left w:val="none" w:sz="0" w:space="0" w:color="auto"/>
        <w:bottom w:val="none" w:sz="0" w:space="0" w:color="auto"/>
        <w:right w:val="none" w:sz="0" w:space="0" w:color="auto"/>
      </w:divBdr>
      <w:divsChild>
        <w:div w:id="2121027587">
          <w:marLeft w:val="0"/>
          <w:marRight w:val="0"/>
          <w:marTop w:val="0"/>
          <w:marBottom w:val="0"/>
          <w:divBdr>
            <w:top w:val="none" w:sz="0" w:space="0" w:color="auto"/>
            <w:left w:val="none" w:sz="0" w:space="0" w:color="auto"/>
            <w:bottom w:val="none" w:sz="0" w:space="0" w:color="auto"/>
            <w:right w:val="none" w:sz="0" w:space="0" w:color="auto"/>
          </w:divBdr>
        </w:div>
        <w:div w:id="1424766508">
          <w:marLeft w:val="0"/>
          <w:marRight w:val="0"/>
          <w:marTop w:val="0"/>
          <w:marBottom w:val="0"/>
          <w:divBdr>
            <w:top w:val="none" w:sz="0" w:space="0" w:color="auto"/>
            <w:left w:val="none" w:sz="0" w:space="0" w:color="auto"/>
            <w:bottom w:val="none" w:sz="0" w:space="0" w:color="auto"/>
            <w:right w:val="none" w:sz="0" w:space="0" w:color="auto"/>
          </w:divBdr>
          <w:divsChild>
            <w:div w:id="929629524">
              <w:marLeft w:val="0"/>
              <w:marRight w:val="0"/>
              <w:marTop w:val="120"/>
              <w:marBottom w:val="120"/>
              <w:divBdr>
                <w:top w:val="none" w:sz="0" w:space="0" w:color="auto"/>
                <w:left w:val="none" w:sz="0" w:space="0" w:color="auto"/>
                <w:bottom w:val="none" w:sz="0" w:space="0" w:color="auto"/>
                <w:right w:val="none" w:sz="0" w:space="0" w:color="auto"/>
              </w:divBdr>
              <w:divsChild>
                <w:div w:id="5971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gen-hartz.de/grad-der-behinderung-gdb-voraussetzungen-vorteile-und-beantragung" TargetMode="External"/><Relationship Id="rId3" Type="http://schemas.openxmlformats.org/officeDocument/2006/relationships/settings" Target="settings.xml"/><Relationship Id="rId7" Type="http://schemas.openxmlformats.org/officeDocument/2006/relationships/hyperlink" Target="https://www.gegen-hartz.de/news/merkzeichen-ag-im-schwerbehindertenausweis-wer-hat-anspru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gen-hartz.de/author/caro-klose" TargetMode="External"/><Relationship Id="rId5" Type="http://schemas.openxmlformats.org/officeDocument/2006/relationships/hyperlink" Target="https://www.gegen-hartz.de/urteile/schwerbehinderung-gericht-legt-eine-neue-richtlinien-merkzeichen-ag-fest-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2712</Characters>
  <Application>Microsoft Office Word</Application>
  <DocSecurity>0</DocSecurity>
  <Lines>22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Juergen Schmidt</dc:creator>
  <cp:keywords/>
  <dc:description/>
  <cp:lastModifiedBy>Juergen Schmidt</cp:lastModifiedBy>
  <cp:revision>2</cp:revision>
  <dcterms:created xsi:type="dcterms:W3CDTF">2024-09-28T08:26:00Z</dcterms:created>
  <dcterms:modified xsi:type="dcterms:W3CDTF">2024-09-28T08:31:00Z</dcterms:modified>
</cp:coreProperties>
</file>